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7036068ce2d43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B88B" w14:textId="77777777" w:rsidR="00DB557F" w:rsidRPr="00360FBA" w:rsidRDefault="00DB557F" w:rsidP="00DB557F">
      <w:pPr>
        <w:jc w:val="center"/>
        <w:rPr>
          <w:rFonts w:ascii="Arial" w:eastAsia="Times New Roman" w:hAnsi="Arial" w:cs="Arial"/>
          <w:color w:val="FF0000"/>
          <w:lang w:eastAsia="en-GB"/>
        </w:rPr>
      </w:pPr>
      <w:r w:rsidRPr="00360FBA">
        <w:rPr>
          <w:rFonts w:ascii="Arial" w:eastAsia="Times New Roman" w:hAnsi="Arial" w:cs="Arial"/>
          <w:color w:val="FF0000"/>
          <w:lang w:eastAsia="en-GB"/>
        </w:rPr>
        <w:t>FACULTY HEADER</w:t>
      </w:r>
    </w:p>
    <w:p w14:paraId="2244A633" w14:textId="5661DFD9" w:rsidR="00DB557F" w:rsidRPr="00360FBA" w:rsidRDefault="00DB557F" w:rsidP="00DB557F">
      <w:pPr>
        <w:spacing w:line="240" w:lineRule="auto"/>
        <w:rPr>
          <w:rFonts w:ascii="Arial" w:hAnsi="Arial" w:cs="Arial"/>
          <w:b/>
          <w:bCs/>
          <w:noProof/>
          <w:u w:val="single"/>
        </w:rPr>
      </w:pPr>
      <w:r w:rsidRPr="00360FBA">
        <w:rPr>
          <w:rFonts w:ascii="Arial" w:hAnsi="Arial" w:cs="Arial"/>
          <w:b/>
          <w:bCs/>
          <w:noProof/>
          <w:u w:val="single"/>
        </w:rPr>
        <w:t>FAVOURABLE ETHIC</w:t>
      </w:r>
      <w:r w:rsidR="00142815">
        <w:rPr>
          <w:rFonts w:ascii="Arial" w:hAnsi="Arial" w:cs="Arial"/>
          <w:b/>
          <w:bCs/>
          <w:noProof/>
          <w:u w:val="single"/>
        </w:rPr>
        <w:t>S</w:t>
      </w:r>
      <w:r w:rsidRPr="00360FBA">
        <w:rPr>
          <w:rFonts w:ascii="Arial" w:hAnsi="Arial" w:cs="Arial"/>
          <w:b/>
          <w:bCs/>
          <w:noProof/>
          <w:u w:val="single"/>
        </w:rPr>
        <w:t xml:space="preserve"> OPINION</w:t>
      </w:r>
    </w:p>
    <w:p w14:paraId="67E3DB4D" w14:textId="77777777" w:rsidR="00DB557F" w:rsidRPr="00360FBA" w:rsidRDefault="00DB557F" w:rsidP="00DB557F">
      <w:pPr>
        <w:spacing w:line="240" w:lineRule="auto"/>
        <w:rPr>
          <w:rFonts w:ascii="Arial" w:hAnsi="Arial" w:cs="Arial"/>
          <w:noProof/>
        </w:rPr>
      </w:pPr>
      <w:r w:rsidRPr="00360FBA">
        <w:rPr>
          <w:rFonts w:ascii="Arial" w:hAnsi="Arial" w:cs="Arial"/>
          <w:b/>
          <w:noProof/>
        </w:rPr>
        <w:t>Study Title</w:t>
      </w:r>
      <w:r w:rsidRPr="00360FBA">
        <w:rPr>
          <w:rFonts w:ascii="Arial" w:hAnsi="Arial" w:cs="Arial"/>
          <w:noProof/>
        </w:rPr>
        <w:t>:</w:t>
      </w:r>
      <w:r w:rsidRPr="00360FBA">
        <w:rPr>
          <w:rFonts w:ascii="Arial" w:hAnsi="Arial" w:cs="Arial"/>
          <w:b/>
          <w:noProof/>
        </w:rPr>
        <w:t xml:space="preserve"> </w:t>
      </w:r>
      <w:r w:rsidRPr="00360FBA">
        <w:rPr>
          <w:rFonts w:ascii="Arial" w:hAnsi="Arial" w:cs="Arial"/>
          <w:noProof/>
          <w:color w:val="FF0000"/>
        </w:rPr>
        <w:t>Title</w:t>
      </w:r>
    </w:p>
    <w:p w14:paraId="41BA4273" w14:textId="0266770E" w:rsidR="00DB557F" w:rsidRPr="00360FBA" w:rsidRDefault="00DB557F" w:rsidP="00DB557F">
      <w:pPr>
        <w:spacing w:line="240" w:lineRule="auto"/>
        <w:rPr>
          <w:rFonts w:ascii="Arial" w:hAnsi="Arial" w:cs="Arial"/>
          <w:noProof/>
        </w:rPr>
      </w:pPr>
      <w:r w:rsidRPr="00360FBA">
        <w:rPr>
          <w:rFonts w:ascii="Arial" w:hAnsi="Arial" w:cs="Arial"/>
          <w:b/>
          <w:bCs/>
          <w:noProof/>
        </w:rPr>
        <w:t>Reference Number</w:t>
      </w:r>
      <w:r w:rsidRPr="00360FBA">
        <w:rPr>
          <w:rFonts w:ascii="Arial" w:hAnsi="Arial" w:cs="Arial"/>
          <w:noProof/>
        </w:rPr>
        <w:t xml:space="preserve">: </w:t>
      </w:r>
      <w:r w:rsidRPr="00360FBA">
        <w:rPr>
          <w:rFonts w:ascii="Arial" w:hAnsi="Arial" w:cs="Arial"/>
          <w:noProof/>
          <w:color w:val="FF0000"/>
        </w:rPr>
        <w:t>xxx</w:t>
      </w:r>
    </w:p>
    <w:p w14:paraId="483C112A" w14:textId="77777777" w:rsidR="00DB557F" w:rsidRPr="00360FBA" w:rsidRDefault="00DB557F" w:rsidP="00DB557F">
      <w:pPr>
        <w:spacing w:line="240" w:lineRule="auto"/>
        <w:rPr>
          <w:rFonts w:ascii="Arial" w:hAnsi="Arial" w:cs="Arial"/>
          <w:b/>
          <w:noProof/>
        </w:rPr>
      </w:pPr>
      <w:r w:rsidRPr="00360FBA">
        <w:rPr>
          <w:rFonts w:ascii="Arial" w:hAnsi="Arial" w:cs="Arial"/>
          <w:b/>
          <w:noProof/>
        </w:rPr>
        <w:t>Date Resubmitted</w:t>
      </w:r>
      <w:r w:rsidRPr="00360FBA">
        <w:rPr>
          <w:rFonts w:ascii="Arial" w:hAnsi="Arial" w:cs="Arial"/>
          <w:noProof/>
        </w:rPr>
        <w:t xml:space="preserve">: </w:t>
      </w:r>
      <w:r w:rsidRPr="00360FBA">
        <w:rPr>
          <w:rFonts w:ascii="Arial" w:hAnsi="Arial" w:cs="Arial"/>
          <w:noProof/>
          <w:color w:val="FF0000"/>
        </w:rPr>
        <w:t>Date</w:t>
      </w:r>
    </w:p>
    <w:p w14:paraId="171B6E02" w14:textId="7A2593C2" w:rsidR="00DB557F" w:rsidRPr="00360FBA" w:rsidRDefault="00DB557F" w:rsidP="00DB557F">
      <w:pPr>
        <w:pStyle w:val="Heading1"/>
        <w:spacing w:line="240" w:lineRule="auto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360FBA">
        <w:rPr>
          <w:rFonts w:ascii="Arial" w:hAnsi="Arial" w:cs="Arial"/>
          <w:b w:val="0"/>
          <w:noProof/>
          <w:color w:val="auto"/>
          <w:sz w:val="22"/>
          <w:szCs w:val="22"/>
        </w:rPr>
        <w:t>Thank you for resubmitting your application to the Faculty Ethics Committee</w:t>
      </w:r>
      <w:r w:rsidR="00360FBA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 and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 for maki</w:t>
      </w:r>
      <w:r w:rsidR="00360FBA">
        <w:rPr>
          <w:rFonts w:ascii="Arial" w:hAnsi="Arial" w:cs="Arial"/>
          <w:b w:val="0"/>
          <w:noProof/>
          <w:color w:val="auto"/>
          <w:sz w:val="22"/>
          <w:szCs w:val="22"/>
        </w:rPr>
        <w:t>ng the requested changes/ clarifications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</w:rPr>
        <w:t>.</w:t>
      </w:r>
    </w:p>
    <w:p w14:paraId="6516469F" w14:textId="341C7B30" w:rsidR="00DB557F" w:rsidRPr="00360FBA" w:rsidRDefault="00DB557F" w:rsidP="00DB557F">
      <w:pPr>
        <w:pStyle w:val="Heading1"/>
        <w:spacing w:line="240" w:lineRule="auto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I am pleased to inform you that </w:t>
      </w:r>
      <w:r w:rsidR="00875703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your research has been 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 grant</w:t>
      </w:r>
      <w:r w:rsidR="00875703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ed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 a favourable ethic</w:t>
      </w:r>
      <w:r w:rsidR="00142815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s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 opinion</w:t>
      </w:r>
      <w:r w:rsidR="00875703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,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 xml:space="preserve"> on the basis described in the submitted documents listed at Annex A, and subject to standard general conditions (</w:t>
      </w:r>
      <w:r w:rsidRPr="00360FBA">
        <w:rPr>
          <w:rFonts w:ascii="Arial" w:hAnsi="Arial" w:cs="Arial"/>
          <w:b w:val="0"/>
          <w:i/>
          <w:noProof/>
          <w:color w:val="auto"/>
          <w:sz w:val="22"/>
          <w:szCs w:val="22"/>
          <w:lang w:eastAsia="en-GB"/>
        </w:rPr>
        <w:t>See Annex B)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.</w:t>
      </w:r>
    </w:p>
    <w:p w14:paraId="7654F1D3" w14:textId="1EC5E325" w:rsidR="00DB557F" w:rsidRPr="00360FBA" w:rsidRDefault="00DB557F" w:rsidP="00DB557F">
      <w:pPr>
        <w:pStyle w:val="Heading1"/>
        <w:spacing w:line="240" w:lineRule="auto"/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</w:pP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Please note that the favourable opinion does not grant permission or ap</w:t>
      </w:r>
      <w:r w:rsidR="00B060E2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proval to undertake the research/work</w:t>
      </w:r>
      <w:r w:rsidRPr="00360FBA">
        <w:rPr>
          <w:rFonts w:ascii="Arial" w:hAnsi="Arial" w:cs="Arial"/>
          <w:b w:val="0"/>
          <w:noProof/>
          <w:color w:val="auto"/>
          <w:sz w:val="22"/>
          <w:szCs w:val="22"/>
          <w:lang w:eastAsia="en-GB"/>
        </w:rPr>
        <w:t>.  Management permission or approval must be obtained from any host organisation, including the University of Portsmouth or supervisor, prior to the start of the study.</w:t>
      </w:r>
    </w:p>
    <w:p w14:paraId="293A388E" w14:textId="77777777" w:rsidR="00DB557F" w:rsidRPr="00360FBA" w:rsidRDefault="00DB557F" w:rsidP="00DB557F">
      <w:pPr>
        <w:widowControl w:val="0"/>
        <w:spacing w:line="240" w:lineRule="auto"/>
        <w:rPr>
          <w:rFonts w:ascii="Arial" w:eastAsiaTheme="majorEastAsia" w:hAnsi="Arial" w:cs="Arial"/>
          <w:bCs/>
          <w:noProof/>
          <w:lang w:eastAsia="en-GB"/>
        </w:rPr>
      </w:pPr>
    </w:p>
    <w:p w14:paraId="07FC5C4E" w14:textId="77777777" w:rsidR="00DB557F" w:rsidRPr="00360FBA" w:rsidRDefault="00DB557F" w:rsidP="00DB557F">
      <w:pPr>
        <w:widowControl w:val="0"/>
        <w:spacing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Wishing you every success in your research</w:t>
      </w:r>
    </w:p>
    <w:p w14:paraId="776DDB6C" w14:textId="77777777" w:rsidR="00DB557F" w:rsidRPr="00360FBA" w:rsidRDefault="00DB557F" w:rsidP="00DB557F">
      <w:pPr>
        <w:widowControl w:val="0"/>
        <w:spacing w:line="240" w:lineRule="auto"/>
        <w:rPr>
          <w:rFonts w:ascii="Arial" w:hAnsi="Arial" w:cs="Arial"/>
        </w:rPr>
      </w:pPr>
    </w:p>
    <w:p w14:paraId="2899C63B" w14:textId="77777777" w:rsidR="00DB557F" w:rsidRPr="00360FBA" w:rsidRDefault="00DB557F" w:rsidP="00DB557F">
      <w:pPr>
        <w:rPr>
          <w:rFonts w:ascii="Arial" w:hAnsi="Arial" w:cs="Arial"/>
          <w:noProof/>
          <w:color w:val="FF0000"/>
        </w:rPr>
      </w:pPr>
      <w:r w:rsidRPr="00360FBA">
        <w:rPr>
          <w:rFonts w:ascii="Arial" w:hAnsi="Arial" w:cs="Arial"/>
          <w:noProof/>
          <w:color w:val="FF0000"/>
        </w:rPr>
        <w:t>FACULTY/CHAIRS SIGNATURE LINE</w:t>
      </w:r>
    </w:p>
    <w:p w14:paraId="4C87BC30" w14:textId="77777777" w:rsidR="00DB557F" w:rsidRPr="00360FBA" w:rsidRDefault="00DB557F" w:rsidP="00DB557F">
      <w:pPr>
        <w:spacing w:line="240" w:lineRule="auto"/>
        <w:rPr>
          <w:rFonts w:ascii="Arial" w:hAnsi="Arial" w:cs="Arial"/>
        </w:rPr>
      </w:pPr>
    </w:p>
    <w:p w14:paraId="51A962BD" w14:textId="77777777" w:rsidR="00DB557F" w:rsidRPr="00360FBA" w:rsidRDefault="00DB557F" w:rsidP="00DB557F">
      <w:pPr>
        <w:spacing w:line="240" w:lineRule="auto"/>
        <w:rPr>
          <w:rFonts w:ascii="Arial" w:hAnsi="Arial" w:cs="Arial"/>
          <w:noProof/>
          <w:u w:val="single"/>
        </w:rPr>
      </w:pPr>
      <w:r w:rsidRPr="00360FBA">
        <w:rPr>
          <w:rFonts w:ascii="Arial" w:hAnsi="Arial" w:cs="Arial"/>
          <w:noProof/>
          <w:u w:val="single"/>
        </w:rPr>
        <w:t>Annexes</w:t>
      </w:r>
    </w:p>
    <w:p w14:paraId="5F67E8FF" w14:textId="77777777" w:rsidR="00DB557F" w:rsidRPr="00360FBA" w:rsidRDefault="00DB557F" w:rsidP="00DB557F">
      <w:pPr>
        <w:spacing w:line="240" w:lineRule="auto"/>
        <w:rPr>
          <w:rFonts w:ascii="Arial" w:hAnsi="Arial" w:cs="Arial"/>
          <w:bCs/>
        </w:rPr>
      </w:pPr>
      <w:r w:rsidRPr="00360FBA">
        <w:rPr>
          <w:rFonts w:ascii="Arial" w:hAnsi="Arial" w:cs="Arial"/>
          <w:noProof/>
        </w:rPr>
        <w:t xml:space="preserve">A - </w:t>
      </w:r>
      <w:r w:rsidRPr="00360FBA">
        <w:rPr>
          <w:rFonts w:ascii="Arial" w:hAnsi="Arial" w:cs="Arial"/>
          <w:bCs/>
        </w:rPr>
        <w:t>Documents reviewed</w:t>
      </w:r>
    </w:p>
    <w:p w14:paraId="30627300" w14:textId="4EDE9F73" w:rsidR="00DB557F" w:rsidRDefault="00DB557F" w:rsidP="00DB557F">
      <w:pPr>
        <w:spacing w:line="240" w:lineRule="auto"/>
        <w:rPr>
          <w:rFonts w:ascii="Arial" w:hAnsi="Arial" w:cs="Arial"/>
        </w:rPr>
      </w:pPr>
      <w:r w:rsidRPr="00360FBA">
        <w:rPr>
          <w:rFonts w:ascii="Arial" w:hAnsi="Arial" w:cs="Arial"/>
          <w:bCs/>
        </w:rPr>
        <w:t xml:space="preserve">B - </w:t>
      </w:r>
      <w:r w:rsidR="00B060E2">
        <w:rPr>
          <w:rFonts w:ascii="Arial" w:hAnsi="Arial" w:cs="Arial"/>
        </w:rPr>
        <w:t>After ethic</w:t>
      </w:r>
      <w:r w:rsidR="00142815">
        <w:rPr>
          <w:rFonts w:ascii="Arial" w:hAnsi="Arial" w:cs="Arial"/>
        </w:rPr>
        <w:t>s</w:t>
      </w:r>
      <w:r w:rsidR="00B060E2">
        <w:rPr>
          <w:rFonts w:ascii="Arial" w:hAnsi="Arial" w:cs="Arial"/>
        </w:rPr>
        <w:t xml:space="preserve"> review</w:t>
      </w:r>
    </w:p>
    <w:p w14:paraId="0EA27230" w14:textId="77777777" w:rsidR="00360FBA" w:rsidRPr="00360FBA" w:rsidRDefault="00360FBA" w:rsidP="00DB557F">
      <w:pPr>
        <w:spacing w:line="240" w:lineRule="auto"/>
        <w:rPr>
          <w:rFonts w:ascii="Arial" w:hAnsi="Arial" w:cs="Arial"/>
          <w:noProof/>
        </w:rPr>
      </w:pPr>
    </w:p>
    <w:p w14:paraId="7BD24D30" w14:textId="77777777" w:rsidR="00DB557F" w:rsidRPr="00360FBA" w:rsidRDefault="00DB557F" w:rsidP="00DB557F">
      <w:pPr>
        <w:widowControl w:val="0"/>
        <w:adjustRightInd w:val="0"/>
        <w:rPr>
          <w:rFonts w:ascii="Arial" w:hAnsi="Arial" w:cs="Arial"/>
          <w:b/>
          <w:bCs/>
        </w:rPr>
      </w:pPr>
      <w:r w:rsidRPr="00360FBA">
        <w:rPr>
          <w:rFonts w:ascii="Arial" w:hAnsi="Arial" w:cs="Arial"/>
          <w:b/>
          <w:noProof/>
          <w:u w:val="single"/>
        </w:rPr>
        <w:t>ANNEX A</w:t>
      </w:r>
      <w:r w:rsidRPr="00360FBA">
        <w:rPr>
          <w:rFonts w:ascii="Arial" w:hAnsi="Arial" w:cs="Arial"/>
          <w:noProof/>
        </w:rPr>
        <w:tab/>
      </w:r>
      <w:r w:rsidRPr="00360FBA">
        <w:rPr>
          <w:rFonts w:ascii="Arial" w:hAnsi="Arial" w:cs="Arial"/>
          <w:b/>
          <w:bCs/>
        </w:rPr>
        <w:t>Documents reviewed</w:t>
      </w:r>
    </w:p>
    <w:p w14:paraId="4DE830EF" w14:textId="4D97E581" w:rsidR="00DB557F" w:rsidRPr="00360FBA" w:rsidRDefault="00DB557F" w:rsidP="00DB557F">
      <w:pPr>
        <w:widowControl w:val="0"/>
        <w:adjustRightInd w:val="0"/>
        <w:rPr>
          <w:rFonts w:ascii="Arial" w:hAnsi="Arial" w:cs="Arial"/>
        </w:rPr>
      </w:pPr>
      <w:r w:rsidRPr="00360FBA">
        <w:rPr>
          <w:rFonts w:ascii="Arial" w:hAnsi="Arial" w:cs="Arial"/>
        </w:rPr>
        <w:t>The documents reviewed for this application</w:t>
      </w:r>
    </w:p>
    <w:tbl>
      <w:tblPr>
        <w:tblW w:w="88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4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6"/>
        <w:gridCol w:w="1204"/>
        <w:gridCol w:w="1781"/>
      </w:tblGrid>
      <w:tr w:rsidR="00DB557F" w:rsidRPr="00360FBA" w14:paraId="5A9A15C9" w14:textId="77777777" w:rsidTr="00DB557F">
        <w:trPr>
          <w:trHeight w:val="280"/>
        </w:trPr>
        <w:tc>
          <w:tcPr>
            <w:tcW w:w="5866" w:type="dxa"/>
            <w:shd w:val="pct12" w:color="auto" w:fill="FFFFFF"/>
            <w:vAlign w:val="center"/>
          </w:tcPr>
          <w:p w14:paraId="5FAA1C76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60FBA">
              <w:rPr>
                <w:rFonts w:ascii="Arial" w:hAnsi="Arial" w:cs="Arial"/>
                <w:i/>
              </w:rPr>
              <w:t xml:space="preserve">Document </w:t>
            </w:r>
            <w:r w:rsidRPr="00360F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04" w:type="dxa"/>
            <w:shd w:val="pct12" w:color="auto" w:fill="FFFFFF"/>
            <w:vAlign w:val="center"/>
          </w:tcPr>
          <w:p w14:paraId="1C12BA54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60FBA">
              <w:rPr>
                <w:rFonts w:ascii="Arial" w:hAnsi="Arial" w:cs="Arial"/>
                <w:i/>
              </w:rPr>
              <w:t xml:space="preserve">Version </w:t>
            </w:r>
            <w:r w:rsidRPr="00360F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81" w:type="dxa"/>
            <w:shd w:val="pct12" w:color="auto" w:fill="FFFFFF"/>
            <w:vAlign w:val="center"/>
          </w:tcPr>
          <w:p w14:paraId="1582EBBB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60FBA">
              <w:rPr>
                <w:rFonts w:ascii="Arial" w:hAnsi="Arial" w:cs="Arial"/>
                <w:i/>
              </w:rPr>
              <w:t xml:space="preserve">Date </w:t>
            </w:r>
            <w:r w:rsidRPr="00360FBA">
              <w:rPr>
                <w:rFonts w:ascii="Arial" w:hAnsi="Arial" w:cs="Arial"/>
              </w:rPr>
              <w:t xml:space="preserve">  </w:t>
            </w:r>
          </w:p>
        </w:tc>
      </w:tr>
      <w:tr w:rsidR="00DB557F" w:rsidRPr="00360FBA" w14:paraId="49970995" w14:textId="77777777" w:rsidTr="00DB557F">
        <w:trPr>
          <w:trHeight w:val="280"/>
        </w:trPr>
        <w:tc>
          <w:tcPr>
            <w:tcW w:w="5866" w:type="dxa"/>
          </w:tcPr>
          <w:p w14:paraId="6442AA57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6C8DC224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155DC68F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B557F" w:rsidRPr="00360FBA" w14:paraId="52FB22E7" w14:textId="77777777" w:rsidTr="00DB557F">
        <w:trPr>
          <w:trHeight w:val="280"/>
        </w:trPr>
        <w:tc>
          <w:tcPr>
            <w:tcW w:w="5866" w:type="dxa"/>
          </w:tcPr>
          <w:p w14:paraId="4257645B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2DB1DEFC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1BC440EA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B557F" w:rsidRPr="00360FBA" w14:paraId="4EA66BE5" w14:textId="77777777" w:rsidTr="00DB557F">
        <w:trPr>
          <w:trHeight w:val="280"/>
        </w:trPr>
        <w:tc>
          <w:tcPr>
            <w:tcW w:w="5866" w:type="dxa"/>
          </w:tcPr>
          <w:p w14:paraId="0776E637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776A8DD7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4DD06458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B557F" w:rsidRPr="00360FBA" w14:paraId="2D635711" w14:textId="77777777" w:rsidTr="00DB557F">
        <w:trPr>
          <w:trHeight w:val="280"/>
        </w:trPr>
        <w:tc>
          <w:tcPr>
            <w:tcW w:w="5866" w:type="dxa"/>
          </w:tcPr>
          <w:p w14:paraId="6186078E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6DDCCAD8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4A5EAEC3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B557F" w:rsidRPr="00360FBA" w14:paraId="56022D99" w14:textId="77777777" w:rsidTr="00DB557F">
        <w:trPr>
          <w:trHeight w:val="280"/>
        </w:trPr>
        <w:tc>
          <w:tcPr>
            <w:tcW w:w="5866" w:type="dxa"/>
          </w:tcPr>
          <w:p w14:paraId="570FF40D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1A127E80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528BBDEE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B557F" w:rsidRPr="00360FBA" w14:paraId="5AF8A309" w14:textId="77777777" w:rsidTr="00DB557F">
        <w:trPr>
          <w:trHeight w:val="280"/>
        </w:trPr>
        <w:tc>
          <w:tcPr>
            <w:tcW w:w="5866" w:type="dxa"/>
          </w:tcPr>
          <w:p w14:paraId="2C9C3421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7F889EE4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374486EA" w14:textId="77777777" w:rsidR="00DB557F" w:rsidRPr="00360FBA" w:rsidRDefault="00DB557F" w:rsidP="00DB557F">
            <w:pPr>
              <w:widowControl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90366E5" w14:textId="77777777" w:rsidR="00360FBA" w:rsidRDefault="00360FBA" w:rsidP="00DB557F">
      <w:pPr>
        <w:rPr>
          <w:rFonts w:ascii="Arial" w:hAnsi="Arial" w:cs="Arial"/>
          <w:b/>
          <w:u w:val="single"/>
        </w:rPr>
      </w:pPr>
    </w:p>
    <w:p w14:paraId="628F0F4B" w14:textId="77777777" w:rsidR="00360FBA" w:rsidRDefault="00360FBA" w:rsidP="00DB557F">
      <w:pPr>
        <w:rPr>
          <w:rFonts w:ascii="Arial" w:hAnsi="Arial" w:cs="Arial"/>
          <w:b/>
          <w:u w:val="single"/>
        </w:rPr>
      </w:pPr>
    </w:p>
    <w:p w14:paraId="175B1E48" w14:textId="574C60D3" w:rsidR="00DB557F" w:rsidRPr="00360FBA" w:rsidRDefault="00DB557F" w:rsidP="00DB557F">
      <w:pPr>
        <w:rPr>
          <w:rFonts w:ascii="Arial" w:hAnsi="Arial" w:cs="Arial"/>
          <w:i/>
          <w:noProof/>
        </w:rPr>
      </w:pPr>
      <w:r w:rsidRPr="00360FBA">
        <w:rPr>
          <w:rFonts w:ascii="Arial" w:hAnsi="Arial" w:cs="Arial"/>
          <w:b/>
          <w:u w:val="single"/>
        </w:rPr>
        <w:lastRenderedPageBreak/>
        <w:t>ANNEX B - After ethic</w:t>
      </w:r>
      <w:r w:rsidR="00142815">
        <w:rPr>
          <w:rFonts w:ascii="Arial" w:hAnsi="Arial" w:cs="Arial"/>
          <w:b/>
          <w:u w:val="single"/>
        </w:rPr>
        <w:t>s</w:t>
      </w:r>
      <w:r w:rsidRPr="00360FBA">
        <w:rPr>
          <w:rFonts w:ascii="Arial" w:hAnsi="Arial" w:cs="Arial"/>
          <w:b/>
          <w:u w:val="single"/>
        </w:rPr>
        <w:t xml:space="preserve"> </w:t>
      </w:r>
      <w:r w:rsidR="00B060E2">
        <w:rPr>
          <w:rFonts w:ascii="Arial" w:hAnsi="Arial" w:cs="Arial"/>
          <w:b/>
          <w:u w:val="single"/>
        </w:rPr>
        <w:t>review</w:t>
      </w:r>
    </w:p>
    <w:p w14:paraId="6FAF2FB5" w14:textId="00E56389" w:rsidR="00DB557F" w:rsidRPr="00360FBA" w:rsidRDefault="00DB557F" w:rsidP="00DB557F">
      <w:pPr>
        <w:rPr>
          <w:rFonts w:ascii="Arial" w:hAnsi="Arial" w:cs="Arial"/>
          <w:color w:val="000000"/>
        </w:rPr>
      </w:pPr>
      <w:r w:rsidRPr="00360FBA">
        <w:rPr>
          <w:rFonts w:ascii="Arial" w:hAnsi="Arial" w:cs="Arial"/>
          <w:color w:val="000000"/>
        </w:rPr>
        <w:t>1. This Annex sets out im</w:t>
      </w:r>
      <w:r w:rsidR="00B060E2">
        <w:rPr>
          <w:rFonts w:ascii="Arial" w:hAnsi="Arial" w:cs="Arial"/>
          <w:color w:val="000000"/>
        </w:rPr>
        <w:t>portant guidance for those</w:t>
      </w:r>
      <w:r w:rsidRPr="00360FBA">
        <w:rPr>
          <w:rFonts w:ascii="Arial" w:hAnsi="Arial" w:cs="Arial"/>
          <w:color w:val="000000"/>
        </w:rPr>
        <w:t xml:space="preserve"> with a favourable opinion from a University of Portsmouth Ethics Committee. Please read the guidance carefully. A failure to follow the guidance could lead to the committee reviewing and possibly revoking its opinion on the research. </w:t>
      </w:r>
    </w:p>
    <w:p w14:paraId="0219CFB9" w14:textId="282B6C20" w:rsidR="00DB557F" w:rsidRPr="00360FBA" w:rsidRDefault="00B060E2" w:rsidP="00DB557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It is assumed that the work</w:t>
      </w:r>
      <w:r w:rsidR="00DB557F" w:rsidRPr="00360FBA">
        <w:rPr>
          <w:rFonts w:ascii="Arial" w:hAnsi="Arial" w:cs="Arial"/>
          <w:color w:val="000000"/>
        </w:rPr>
        <w:t xml:space="preserve"> will commence within 1 year of the date of the favourable ethic</w:t>
      </w:r>
      <w:r w:rsidR="00142815">
        <w:rPr>
          <w:rFonts w:ascii="Arial" w:hAnsi="Arial" w:cs="Arial"/>
          <w:color w:val="000000"/>
        </w:rPr>
        <w:t>s</w:t>
      </w:r>
      <w:r w:rsidR="00DB557F" w:rsidRPr="00360FBA">
        <w:rPr>
          <w:rFonts w:ascii="Arial" w:hAnsi="Arial" w:cs="Arial"/>
          <w:color w:val="000000"/>
        </w:rPr>
        <w:t xml:space="preserve"> opinion or the start date stated in the application, whichever is the latest.</w:t>
      </w:r>
    </w:p>
    <w:p w14:paraId="1F4ADEDC" w14:textId="432A756C" w:rsidR="00DB557F" w:rsidRPr="00360FBA" w:rsidRDefault="00B060E2" w:rsidP="00DB557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The work</w:t>
      </w:r>
      <w:r w:rsidR="00DB557F" w:rsidRPr="00360FBA">
        <w:rPr>
          <w:rFonts w:ascii="Arial" w:hAnsi="Arial" w:cs="Arial"/>
          <w:color w:val="000000"/>
        </w:rPr>
        <w:t xml:space="preserve"> must not commence until the researcher has obtained any necessary management</w:t>
      </w:r>
      <w:r w:rsidR="00142815">
        <w:rPr>
          <w:rFonts w:ascii="Arial" w:hAnsi="Arial" w:cs="Arial"/>
          <w:color w:val="000000"/>
        </w:rPr>
        <w:t>/governance</w:t>
      </w:r>
      <w:r w:rsidR="00DB557F" w:rsidRPr="00360FBA">
        <w:rPr>
          <w:rFonts w:ascii="Arial" w:hAnsi="Arial" w:cs="Arial"/>
          <w:color w:val="000000"/>
        </w:rPr>
        <w:t xml:space="preserve"> permissions or approvals</w:t>
      </w:r>
      <w:r w:rsidR="00862713">
        <w:rPr>
          <w:rFonts w:ascii="Arial" w:hAnsi="Arial" w:cs="Arial"/>
          <w:color w:val="000000"/>
        </w:rPr>
        <w:t xml:space="preserve"> including carrying out appropriate and required risk assessments</w:t>
      </w:r>
      <w:r w:rsidR="00DB557F" w:rsidRPr="00360FBA">
        <w:rPr>
          <w:rFonts w:ascii="Arial" w:hAnsi="Arial" w:cs="Arial"/>
          <w:color w:val="000000"/>
        </w:rPr>
        <w:t xml:space="preserve"> – this is particularly pertinent in cases of research hosted by external organisations. The appropriate head of department should </w:t>
      </w:r>
      <w:r w:rsidR="00862713">
        <w:rPr>
          <w:rFonts w:ascii="Arial" w:hAnsi="Arial" w:cs="Arial"/>
          <w:color w:val="000000"/>
        </w:rPr>
        <w:t xml:space="preserve">also </w:t>
      </w:r>
      <w:r w:rsidR="00DB557F" w:rsidRPr="00360FBA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 aware of a member of staff’s</w:t>
      </w:r>
      <w:r w:rsidR="00DB557F" w:rsidRPr="00360FBA">
        <w:rPr>
          <w:rFonts w:ascii="Arial" w:hAnsi="Arial" w:cs="Arial"/>
          <w:color w:val="000000"/>
        </w:rPr>
        <w:t xml:space="preserve"> plans.   </w:t>
      </w:r>
      <w:bookmarkStart w:id="0" w:name="_GoBack"/>
      <w:bookmarkEnd w:id="0"/>
    </w:p>
    <w:p w14:paraId="4063D272" w14:textId="1152A36B" w:rsidR="00DB557F" w:rsidRPr="00360FBA" w:rsidRDefault="00DB557F" w:rsidP="00DB557F">
      <w:pPr>
        <w:rPr>
          <w:rFonts w:ascii="Arial" w:hAnsi="Arial" w:cs="Arial"/>
        </w:rPr>
      </w:pPr>
      <w:r w:rsidRPr="00360FBA">
        <w:rPr>
          <w:rFonts w:ascii="Arial" w:hAnsi="Arial" w:cs="Arial"/>
        </w:rPr>
        <w:t>4. If it is proposed to extend the duration of the study beyond that stated in the application, the Ethics Committee must be informed.</w:t>
      </w:r>
    </w:p>
    <w:p w14:paraId="508D2EEA" w14:textId="24DFC990" w:rsidR="00DB557F" w:rsidRPr="00360FBA" w:rsidRDefault="00DB557F" w:rsidP="00DB557F">
      <w:pPr>
        <w:rPr>
          <w:rFonts w:ascii="Arial" w:hAnsi="Arial" w:cs="Arial"/>
        </w:rPr>
      </w:pPr>
      <w:r w:rsidRPr="00360FBA">
        <w:rPr>
          <w:rFonts w:ascii="Arial" w:hAnsi="Arial" w:cs="Arial"/>
        </w:rPr>
        <w:t>5. Any proposed substantial amendments must be submitted to the Ethics Committee for review. A substantial amendment is any amendment to the terms of the application for ethic</w:t>
      </w:r>
      <w:r w:rsidR="00142815">
        <w:rPr>
          <w:rFonts w:ascii="Arial" w:hAnsi="Arial" w:cs="Arial"/>
        </w:rPr>
        <w:t>s</w:t>
      </w:r>
      <w:r w:rsidRPr="00360FBA">
        <w:rPr>
          <w:rFonts w:ascii="Arial" w:hAnsi="Arial" w:cs="Arial"/>
        </w:rPr>
        <w:t xml:space="preserve"> review, or to the protocol or other supporting documentation approved by the Committee that is likely to affect to a significant degree: </w:t>
      </w:r>
    </w:p>
    <w:p w14:paraId="03951AD9" w14:textId="00537D58" w:rsidR="00DB557F" w:rsidRPr="00360FBA" w:rsidRDefault="00DB557F" w:rsidP="00DB557F">
      <w:pPr>
        <w:ind w:left="1440"/>
        <w:rPr>
          <w:rFonts w:ascii="Arial" w:hAnsi="Arial" w:cs="Arial"/>
        </w:rPr>
      </w:pPr>
      <w:r w:rsidRPr="00360FBA">
        <w:rPr>
          <w:rFonts w:ascii="Arial" w:hAnsi="Arial" w:cs="Arial"/>
        </w:rPr>
        <w:t xml:space="preserve">(a) the safety or physical or mental integrity of participants </w:t>
      </w:r>
      <w:r w:rsidRPr="00360FBA">
        <w:rPr>
          <w:rFonts w:ascii="Arial" w:hAnsi="Arial" w:cs="Arial"/>
        </w:rPr>
        <w:br/>
        <w:t>(b) the scientific value of the study</w:t>
      </w:r>
      <w:r w:rsidRPr="00360FBA">
        <w:rPr>
          <w:rFonts w:ascii="Arial" w:hAnsi="Arial" w:cs="Arial"/>
        </w:rPr>
        <w:br/>
        <w:t>(c) the conduct or management of the study.</w:t>
      </w:r>
    </w:p>
    <w:p w14:paraId="79B7DA46" w14:textId="38446D28" w:rsidR="00DB557F" w:rsidRPr="00360FBA" w:rsidRDefault="00DB557F" w:rsidP="00DB557F">
      <w:pPr>
        <w:ind w:left="720"/>
        <w:rPr>
          <w:rFonts w:ascii="Arial" w:hAnsi="Arial" w:cs="Arial"/>
        </w:rPr>
      </w:pPr>
      <w:r w:rsidRPr="00360FBA">
        <w:rPr>
          <w:rFonts w:ascii="Arial" w:hAnsi="Arial" w:cs="Arial"/>
        </w:rPr>
        <w:t>5.1 A substantial amendment should not be implemented until a favourable ethic</w:t>
      </w:r>
      <w:r w:rsidR="00142815">
        <w:rPr>
          <w:rFonts w:ascii="Arial" w:hAnsi="Arial" w:cs="Arial"/>
        </w:rPr>
        <w:t>s</w:t>
      </w:r>
      <w:r w:rsidRPr="00360FBA">
        <w:rPr>
          <w:rFonts w:ascii="Arial" w:hAnsi="Arial" w:cs="Arial"/>
        </w:rPr>
        <w:t xml:space="preserve"> opinion has been given by the Committee.</w:t>
      </w:r>
    </w:p>
    <w:p w14:paraId="441050AA" w14:textId="75CD80F4" w:rsidR="00DB557F" w:rsidRPr="00360FBA" w:rsidRDefault="00B060E2" w:rsidP="00DB557F">
      <w:pPr>
        <w:rPr>
          <w:rFonts w:ascii="Arial" w:hAnsi="Arial" w:cs="Arial"/>
        </w:rPr>
      </w:pPr>
      <w:r>
        <w:rPr>
          <w:rFonts w:ascii="Arial" w:hAnsi="Arial" w:cs="Arial"/>
        </w:rPr>
        <w:t>6. At the end of the work</w:t>
      </w:r>
      <w:r w:rsidR="00DB557F" w:rsidRPr="00360FBA">
        <w:rPr>
          <w:rFonts w:ascii="Arial" w:hAnsi="Arial" w:cs="Arial"/>
        </w:rPr>
        <w:t xml:space="preserve"> a final report should be submitte</w:t>
      </w:r>
      <w:r w:rsidR="00360FBA">
        <w:rPr>
          <w:rFonts w:ascii="Arial" w:hAnsi="Arial" w:cs="Arial"/>
        </w:rPr>
        <w:t>d to the ethics committee. A tem</w:t>
      </w:r>
      <w:r w:rsidR="00DB557F" w:rsidRPr="00360FBA">
        <w:rPr>
          <w:rFonts w:ascii="Arial" w:hAnsi="Arial" w:cs="Arial"/>
        </w:rPr>
        <w:t>plate for this can be found on the University Ethics webpage.</w:t>
      </w:r>
    </w:p>
    <w:p w14:paraId="63AFBE5A" w14:textId="303F7DB3" w:rsidR="00DB557F" w:rsidRPr="00360FBA" w:rsidRDefault="00DB557F" w:rsidP="00DB557F">
      <w:pPr>
        <w:rPr>
          <w:rFonts w:ascii="Arial" w:hAnsi="Arial" w:cs="Arial"/>
        </w:rPr>
      </w:pPr>
      <w:r w:rsidRPr="00360FBA">
        <w:rPr>
          <w:rFonts w:ascii="Arial" w:hAnsi="Arial" w:cs="Arial"/>
        </w:rPr>
        <w:t xml:space="preserve">7. Researchers are reminded of the University’s commitments as stated in the </w:t>
      </w:r>
      <w:hyperlink r:id="rId7" w:history="1">
        <w:r w:rsidRPr="00360FBA">
          <w:rPr>
            <w:rStyle w:val="Hyperlink"/>
            <w:rFonts w:ascii="Arial" w:hAnsi="Arial" w:cs="Arial"/>
          </w:rPr>
          <w:t>Concordat to Support Research Integrity</w:t>
        </w:r>
      </w:hyperlink>
      <w:r w:rsidR="00360FBA">
        <w:rPr>
          <w:rFonts w:ascii="Arial" w:hAnsi="Arial" w:cs="Arial"/>
        </w:rPr>
        <w:t xml:space="preserve"> </w:t>
      </w:r>
      <w:r w:rsidRPr="00360FBA">
        <w:rPr>
          <w:rFonts w:ascii="Arial" w:hAnsi="Arial" w:cs="Arial"/>
        </w:rPr>
        <w:t>viz:</w:t>
      </w:r>
    </w:p>
    <w:p w14:paraId="6826678C" w14:textId="77777777" w:rsidR="00DB557F" w:rsidRPr="00360FBA" w:rsidRDefault="00DB557F" w:rsidP="00DB557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maintaining the highest standards of rigour and integrity in all aspects of research</w:t>
      </w:r>
    </w:p>
    <w:p w14:paraId="245F526F" w14:textId="77777777" w:rsidR="00DB557F" w:rsidRPr="00360FBA" w:rsidRDefault="00DB557F" w:rsidP="00DB557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ensuring that research is conducted according to appropriate ethical, legal and professional frameworks, obligations and standards</w:t>
      </w:r>
    </w:p>
    <w:p w14:paraId="77EA275D" w14:textId="77777777" w:rsidR="00DB557F" w:rsidRPr="00360FBA" w:rsidRDefault="00DB557F" w:rsidP="00DB557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supporting a research environment that is underpinned by a culture of integrity and based on good governance, best practice and support for the development of researchers</w:t>
      </w:r>
    </w:p>
    <w:p w14:paraId="6CF52015" w14:textId="77777777" w:rsidR="00DB557F" w:rsidRPr="00360FBA" w:rsidRDefault="00DB557F" w:rsidP="00DB557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using transparent, robust and fair processes to deal with allegations of research misconduct should they arise</w:t>
      </w:r>
    </w:p>
    <w:p w14:paraId="12DCA4DE" w14:textId="77777777" w:rsidR="00DB557F" w:rsidRPr="00360FBA" w:rsidRDefault="00DB557F" w:rsidP="00DB557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360FBA">
        <w:rPr>
          <w:rFonts w:ascii="Arial" w:hAnsi="Arial" w:cs="Arial"/>
        </w:rPr>
        <w:t>working together to strengthen the integrity of research and to reviewing progress regularly and openly.</w:t>
      </w:r>
    </w:p>
    <w:p w14:paraId="35AD8708" w14:textId="77777777" w:rsidR="00DB557F" w:rsidRPr="00360FBA" w:rsidRDefault="00DB557F" w:rsidP="00DB557F">
      <w:pPr>
        <w:pStyle w:val="ListParagraph"/>
        <w:spacing w:after="0" w:line="240" w:lineRule="auto"/>
        <w:rPr>
          <w:rFonts w:ascii="Arial" w:hAnsi="Arial" w:cs="Arial"/>
        </w:rPr>
      </w:pPr>
    </w:p>
    <w:p w14:paraId="4BE2A436" w14:textId="0341E54D" w:rsidR="00DB557F" w:rsidRPr="00360FBA" w:rsidRDefault="00DB557F" w:rsidP="00DB557F">
      <w:pPr>
        <w:spacing w:line="240" w:lineRule="auto"/>
        <w:rPr>
          <w:rFonts w:ascii="Arial" w:hAnsi="Arial" w:cs="Arial"/>
          <w:noProof/>
        </w:rPr>
      </w:pPr>
      <w:r w:rsidRPr="00360FBA">
        <w:rPr>
          <w:rFonts w:ascii="Arial" w:hAnsi="Arial" w:cs="Arial"/>
        </w:rPr>
        <w:t xml:space="preserve">8. In ensuring that it meets these commitments the University has adopted the </w:t>
      </w:r>
      <w:hyperlink r:id="rId8" w:history="1">
        <w:r w:rsidRPr="00360FBA">
          <w:rPr>
            <w:rStyle w:val="Hyperlink"/>
            <w:rFonts w:ascii="Arial" w:hAnsi="Arial" w:cs="Arial"/>
          </w:rPr>
          <w:t>UKRIO Code of Practice for Research</w:t>
        </w:r>
      </w:hyperlink>
      <w:r w:rsidRPr="00360FBA">
        <w:rPr>
          <w:rFonts w:ascii="Arial" w:hAnsi="Arial" w:cs="Arial"/>
        </w:rPr>
        <w:t xml:space="preserve">.  Any breach of this code may be considered as misconduct and may be investigated following the University </w:t>
      </w:r>
      <w:hyperlink r:id="rId9" w:history="1">
        <w:r w:rsidRPr="00360FBA">
          <w:rPr>
            <w:rStyle w:val="Hyperlink"/>
            <w:rFonts w:ascii="Arial" w:hAnsi="Arial" w:cs="Arial"/>
          </w:rPr>
          <w:t>Procedure for the Investigation of Allegations of Misconduct in Research</w:t>
        </w:r>
      </w:hyperlink>
      <w:r w:rsidRPr="00360FBA">
        <w:rPr>
          <w:rFonts w:ascii="Arial" w:hAnsi="Arial" w:cs="Arial"/>
        </w:rPr>
        <w:t xml:space="preserve">. Researchers are advised to use the </w:t>
      </w:r>
      <w:hyperlink r:id="rId10" w:history="1">
        <w:r w:rsidRPr="00360FBA">
          <w:rPr>
            <w:rStyle w:val="Hyperlink"/>
            <w:rFonts w:ascii="Arial" w:hAnsi="Arial" w:cs="Arial"/>
          </w:rPr>
          <w:t>UKRIO checklist</w:t>
        </w:r>
      </w:hyperlink>
      <w:r w:rsidRPr="00360FBA">
        <w:rPr>
          <w:rFonts w:ascii="Arial" w:hAnsi="Arial" w:cs="Arial"/>
        </w:rPr>
        <w:t xml:space="preserve"> as a simple guide to integrity.</w:t>
      </w:r>
    </w:p>
    <w:p w14:paraId="1040D554" w14:textId="77777777" w:rsidR="00DB557F" w:rsidRPr="00360FBA" w:rsidRDefault="00DB557F" w:rsidP="00DB557F">
      <w:pPr>
        <w:spacing w:line="240" w:lineRule="auto"/>
        <w:rPr>
          <w:rFonts w:ascii="Arial" w:eastAsia="Times New Roman" w:hAnsi="Arial" w:cs="Arial"/>
          <w:lang w:eastAsia="en-GB"/>
        </w:rPr>
      </w:pPr>
    </w:p>
    <w:sectPr w:rsidR="00DB557F" w:rsidRPr="00360FBA" w:rsidSect="007C74BB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D4C8" w14:textId="77777777" w:rsidR="00572CFE" w:rsidRDefault="00572CFE" w:rsidP="00DD6F32">
      <w:pPr>
        <w:spacing w:after="0" w:line="240" w:lineRule="auto"/>
      </w:pPr>
      <w:r>
        <w:separator/>
      </w:r>
    </w:p>
  </w:endnote>
  <w:endnote w:type="continuationSeparator" w:id="0">
    <w:p w14:paraId="0F6B90C7" w14:textId="77777777" w:rsidR="00572CFE" w:rsidRDefault="00572CFE" w:rsidP="00DD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3C98" w14:textId="77777777" w:rsidR="00572CFE" w:rsidRDefault="00572CFE" w:rsidP="00DD6F32">
      <w:pPr>
        <w:spacing w:after="0" w:line="240" w:lineRule="auto"/>
      </w:pPr>
      <w:r>
        <w:separator/>
      </w:r>
    </w:p>
  </w:footnote>
  <w:footnote w:type="continuationSeparator" w:id="0">
    <w:p w14:paraId="73B90140" w14:textId="77777777" w:rsidR="00572CFE" w:rsidRDefault="00572CFE" w:rsidP="00DD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E35"/>
    <w:multiLevelType w:val="multilevel"/>
    <w:tmpl w:val="A0C430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" w15:restartNumberingAfterBreak="0">
    <w:nsid w:val="02DF531E"/>
    <w:multiLevelType w:val="multilevel"/>
    <w:tmpl w:val="E3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52AD"/>
    <w:multiLevelType w:val="multilevel"/>
    <w:tmpl w:val="1FC2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F3453"/>
    <w:multiLevelType w:val="multilevel"/>
    <w:tmpl w:val="2B8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923AC"/>
    <w:multiLevelType w:val="multilevel"/>
    <w:tmpl w:val="8E364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5" w15:restartNumberingAfterBreak="0">
    <w:nsid w:val="0C7050C9"/>
    <w:multiLevelType w:val="hybridMultilevel"/>
    <w:tmpl w:val="F682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0636"/>
    <w:multiLevelType w:val="hybridMultilevel"/>
    <w:tmpl w:val="F348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797"/>
    <w:multiLevelType w:val="hybridMultilevel"/>
    <w:tmpl w:val="6316A4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0A53411"/>
    <w:multiLevelType w:val="hybridMultilevel"/>
    <w:tmpl w:val="2E0C1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93E2C"/>
    <w:multiLevelType w:val="hybridMultilevel"/>
    <w:tmpl w:val="9BEC294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0" w15:restartNumberingAfterBreak="0">
    <w:nsid w:val="12F037E5"/>
    <w:multiLevelType w:val="hybridMultilevel"/>
    <w:tmpl w:val="1B4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935D3"/>
    <w:multiLevelType w:val="multilevel"/>
    <w:tmpl w:val="2DF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85D95"/>
    <w:multiLevelType w:val="hybridMultilevel"/>
    <w:tmpl w:val="DBF02660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DCC2E68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7180F0D"/>
    <w:multiLevelType w:val="hybridMultilevel"/>
    <w:tmpl w:val="BAC0C8B4"/>
    <w:lvl w:ilvl="0" w:tplc="8EAAAC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A745095"/>
    <w:multiLevelType w:val="hybridMultilevel"/>
    <w:tmpl w:val="55B6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E41A7"/>
    <w:multiLevelType w:val="hybridMultilevel"/>
    <w:tmpl w:val="C6FE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3A37"/>
    <w:multiLevelType w:val="hybridMultilevel"/>
    <w:tmpl w:val="409C1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276"/>
    <w:multiLevelType w:val="hybridMultilevel"/>
    <w:tmpl w:val="7F9AB846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1452C5"/>
    <w:multiLevelType w:val="hybridMultilevel"/>
    <w:tmpl w:val="23CA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D462B"/>
    <w:multiLevelType w:val="hybridMultilevel"/>
    <w:tmpl w:val="4DC61BDE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38C76257"/>
    <w:multiLevelType w:val="multilevel"/>
    <w:tmpl w:val="CD3C03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1" w15:restartNumberingAfterBreak="0">
    <w:nsid w:val="3A29096A"/>
    <w:multiLevelType w:val="hybridMultilevel"/>
    <w:tmpl w:val="DBD88524"/>
    <w:lvl w:ilvl="0" w:tplc="33D0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6714"/>
    <w:multiLevelType w:val="hybridMultilevel"/>
    <w:tmpl w:val="742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66E7C"/>
    <w:multiLevelType w:val="hybridMultilevel"/>
    <w:tmpl w:val="C92C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F7B05"/>
    <w:multiLevelType w:val="hybridMultilevel"/>
    <w:tmpl w:val="B0C0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C9B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836E8"/>
    <w:multiLevelType w:val="hybridMultilevel"/>
    <w:tmpl w:val="E5D00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7C2B"/>
    <w:multiLevelType w:val="hybridMultilevel"/>
    <w:tmpl w:val="96F25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39675CB"/>
    <w:multiLevelType w:val="hybridMultilevel"/>
    <w:tmpl w:val="6DB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E0A61"/>
    <w:multiLevelType w:val="hybridMultilevel"/>
    <w:tmpl w:val="B6C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97EBC"/>
    <w:multiLevelType w:val="hybridMultilevel"/>
    <w:tmpl w:val="725A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08DD"/>
    <w:multiLevelType w:val="hybridMultilevel"/>
    <w:tmpl w:val="86DC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946FF"/>
    <w:multiLevelType w:val="multilevel"/>
    <w:tmpl w:val="9BBC2B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237212"/>
    <w:multiLevelType w:val="multilevel"/>
    <w:tmpl w:val="EBE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071E9"/>
    <w:multiLevelType w:val="hybridMultilevel"/>
    <w:tmpl w:val="7A8241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7F501E"/>
    <w:multiLevelType w:val="multilevel"/>
    <w:tmpl w:val="014C1C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F7C89"/>
    <w:multiLevelType w:val="hybridMultilevel"/>
    <w:tmpl w:val="AC329A8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C750A17"/>
    <w:multiLevelType w:val="hybridMultilevel"/>
    <w:tmpl w:val="7216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F1D70"/>
    <w:multiLevelType w:val="hybridMultilevel"/>
    <w:tmpl w:val="2D7A2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D6F15E3"/>
    <w:multiLevelType w:val="hybridMultilevel"/>
    <w:tmpl w:val="902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93B37"/>
    <w:multiLevelType w:val="multilevel"/>
    <w:tmpl w:val="B92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922A3"/>
    <w:multiLevelType w:val="hybridMultilevel"/>
    <w:tmpl w:val="0D70FF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74A1E7F"/>
    <w:multiLevelType w:val="hybridMultilevel"/>
    <w:tmpl w:val="EDFA58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55472"/>
    <w:multiLevelType w:val="hybridMultilevel"/>
    <w:tmpl w:val="BBA2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1214"/>
    <w:multiLevelType w:val="hybridMultilevel"/>
    <w:tmpl w:val="B660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85F5E"/>
    <w:multiLevelType w:val="hybridMultilevel"/>
    <w:tmpl w:val="AB4E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39"/>
  </w:num>
  <w:num w:numId="7">
    <w:abstractNumId w:val="43"/>
  </w:num>
  <w:num w:numId="8">
    <w:abstractNumId w:val="23"/>
  </w:num>
  <w:num w:numId="9">
    <w:abstractNumId w:val="21"/>
  </w:num>
  <w:num w:numId="10">
    <w:abstractNumId w:val="38"/>
  </w:num>
  <w:num w:numId="11">
    <w:abstractNumId w:val="6"/>
  </w:num>
  <w:num w:numId="12">
    <w:abstractNumId w:val="15"/>
  </w:num>
  <w:num w:numId="13">
    <w:abstractNumId w:val="33"/>
  </w:num>
  <w:num w:numId="14">
    <w:abstractNumId w:val="34"/>
  </w:num>
  <w:num w:numId="15">
    <w:abstractNumId w:val="41"/>
  </w:num>
  <w:num w:numId="16">
    <w:abstractNumId w:val="42"/>
  </w:num>
  <w:num w:numId="17">
    <w:abstractNumId w:val="31"/>
  </w:num>
  <w:num w:numId="18">
    <w:abstractNumId w:val="25"/>
  </w:num>
  <w:num w:numId="19">
    <w:abstractNumId w:val="40"/>
  </w:num>
  <w:num w:numId="20">
    <w:abstractNumId w:val="12"/>
  </w:num>
  <w:num w:numId="21">
    <w:abstractNumId w:val="16"/>
  </w:num>
  <w:num w:numId="22">
    <w:abstractNumId w:val="8"/>
  </w:num>
  <w:num w:numId="23">
    <w:abstractNumId w:val="30"/>
  </w:num>
  <w:num w:numId="24">
    <w:abstractNumId w:val="17"/>
  </w:num>
  <w:num w:numId="25">
    <w:abstractNumId w:val="10"/>
  </w:num>
  <w:num w:numId="26">
    <w:abstractNumId w:val="18"/>
  </w:num>
  <w:num w:numId="27">
    <w:abstractNumId w:val="28"/>
  </w:num>
  <w:num w:numId="28">
    <w:abstractNumId w:val="14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5"/>
  </w:num>
  <w:num w:numId="34">
    <w:abstractNumId w:val="36"/>
  </w:num>
  <w:num w:numId="35">
    <w:abstractNumId w:val="29"/>
  </w:num>
  <w:num w:numId="36">
    <w:abstractNumId w:val="44"/>
  </w:num>
  <w:num w:numId="37">
    <w:abstractNumId w:val="26"/>
  </w:num>
  <w:num w:numId="38">
    <w:abstractNumId w:val="7"/>
  </w:num>
  <w:num w:numId="39">
    <w:abstractNumId w:val="13"/>
  </w:num>
  <w:num w:numId="40">
    <w:abstractNumId w:val="35"/>
  </w:num>
  <w:num w:numId="41">
    <w:abstractNumId w:val="24"/>
  </w:num>
  <w:num w:numId="42">
    <w:abstractNumId w:val="37"/>
  </w:num>
  <w:num w:numId="43">
    <w:abstractNumId w:val="4"/>
  </w:num>
  <w:num w:numId="44">
    <w:abstractNumId w:val="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743"/>
    <w:rsid w:val="000125CF"/>
    <w:rsid w:val="00037DDD"/>
    <w:rsid w:val="000C2D56"/>
    <w:rsid w:val="000E0C42"/>
    <w:rsid w:val="000E6D51"/>
    <w:rsid w:val="000F6A49"/>
    <w:rsid w:val="00142815"/>
    <w:rsid w:val="00142F8C"/>
    <w:rsid w:val="001533D6"/>
    <w:rsid w:val="001A0B5E"/>
    <w:rsid w:val="001B5AB5"/>
    <w:rsid w:val="00241342"/>
    <w:rsid w:val="002739F0"/>
    <w:rsid w:val="002A41EA"/>
    <w:rsid w:val="002D731E"/>
    <w:rsid w:val="002F463C"/>
    <w:rsid w:val="003156FB"/>
    <w:rsid w:val="00354041"/>
    <w:rsid w:val="00360FBA"/>
    <w:rsid w:val="003832B1"/>
    <w:rsid w:val="003971B8"/>
    <w:rsid w:val="003B21B6"/>
    <w:rsid w:val="003D0344"/>
    <w:rsid w:val="003F0052"/>
    <w:rsid w:val="00416AC8"/>
    <w:rsid w:val="004417FB"/>
    <w:rsid w:val="004629B2"/>
    <w:rsid w:val="004C2F5A"/>
    <w:rsid w:val="004D4E91"/>
    <w:rsid w:val="004D527D"/>
    <w:rsid w:val="004F5507"/>
    <w:rsid w:val="00500180"/>
    <w:rsid w:val="00532F33"/>
    <w:rsid w:val="00537EB1"/>
    <w:rsid w:val="0055522D"/>
    <w:rsid w:val="005665A2"/>
    <w:rsid w:val="00572CFE"/>
    <w:rsid w:val="005A5607"/>
    <w:rsid w:val="00610798"/>
    <w:rsid w:val="00620965"/>
    <w:rsid w:val="00632199"/>
    <w:rsid w:val="006529A6"/>
    <w:rsid w:val="006B6ACB"/>
    <w:rsid w:val="006E5243"/>
    <w:rsid w:val="007014DD"/>
    <w:rsid w:val="00717E79"/>
    <w:rsid w:val="00761B45"/>
    <w:rsid w:val="007748C2"/>
    <w:rsid w:val="00790EDB"/>
    <w:rsid w:val="007C74BB"/>
    <w:rsid w:val="007D2810"/>
    <w:rsid w:val="007F3FE8"/>
    <w:rsid w:val="007F562F"/>
    <w:rsid w:val="008112ED"/>
    <w:rsid w:val="00862713"/>
    <w:rsid w:val="00875641"/>
    <w:rsid w:val="00875703"/>
    <w:rsid w:val="00884D9F"/>
    <w:rsid w:val="008B225A"/>
    <w:rsid w:val="008D37D5"/>
    <w:rsid w:val="008E4FC3"/>
    <w:rsid w:val="009106F9"/>
    <w:rsid w:val="00913C35"/>
    <w:rsid w:val="00944132"/>
    <w:rsid w:val="009C15E3"/>
    <w:rsid w:val="009C5DD2"/>
    <w:rsid w:val="009E3925"/>
    <w:rsid w:val="009E6DC8"/>
    <w:rsid w:val="009F5DA5"/>
    <w:rsid w:val="00A60977"/>
    <w:rsid w:val="00AB39E5"/>
    <w:rsid w:val="00AF19F9"/>
    <w:rsid w:val="00B060E2"/>
    <w:rsid w:val="00B21EE1"/>
    <w:rsid w:val="00BE632B"/>
    <w:rsid w:val="00BF1B1F"/>
    <w:rsid w:val="00C15D33"/>
    <w:rsid w:val="00C61626"/>
    <w:rsid w:val="00C6789E"/>
    <w:rsid w:val="00C81743"/>
    <w:rsid w:val="00CF20D1"/>
    <w:rsid w:val="00CF4A11"/>
    <w:rsid w:val="00D347A7"/>
    <w:rsid w:val="00D677EC"/>
    <w:rsid w:val="00D76D5D"/>
    <w:rsid w:val="00DB557F"/>
    <w:rsid w:val="00DC2500"/>
    <w:rsid w:val="00DD6F32"/>
    <w:rsid w:val="00DD7DBA"/>
    <w:rsid w:val="00E06A84"/>
    <w:rsid w:val="00E22C33"/>
    <w:rsid w:val="00E31CBB"/>
    <w:rsid w:val="00E92371"/>
    <w:rsid w:val="00ED0044"/>
    <w:rsid w:val="00F06178"/>
    <w:rsid w:val="00F508DB"/>
    <w:rsid w:val="00F77505"/>
    <w:rsid w:val="00FA48C1"/>
    <w:rsid w:val="00FE0D71"/>
    <w:rsid w:val="00FE1780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EAB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8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7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8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1743"/>
  </w:style>
  <w:style w:type="character" w:styleId="Emphasis">
    <w:name w:val="Emphasis"/>
    <w:basedOn w:val="DefaultParagraphFont"/>
    <w:uiPriority w:val="20"/>
    <w:qFormat/>
    <w:rsid w:val="00C81743"/>
    <w:rPr>
      <w:i/>
      <w:iCs/>
    </w:rPr>
  </w:style>
  <w:style w:type="character" w:styleId="Hyperlink">
    <w:name w:val="Hyperlink"/>
    <w:basedOn w:val="DefaultParagraphFont"/>
    <w:uiPriority w:val="99"/>
    <w:unhideWhenUsed/>
    <w:rsid w:val="00C8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B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5CF"/>
    <w:pPr>
      <w:ind w:left="720"/>
      <w:contextualSpacing/>
    </w:pPr>
  </w:style>
  <w:style w:type="paragraph" w:styleId="Header">
    <w:name w:val="header"/>
    <w:basedOn w:val="Normal"/>
    <w:link w:val="HeaderChar"/>
    <w:rsid w:val="004F550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F550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13C3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13C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3C35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913C3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913C35"/>
    <w:rPr>
      <w:rFonts w:ascii="Times New Roman" w:eastAsia="Times New Roman" w:hAnsi="Times New Roman" w:cs="Times New Roman"/>
      <w:sz w:val="16"/>
      <w:szCs w:val="24"/>
    </w:rPr>
  </w:style>
  <w:style w:type="paragraph" w:customStyle="1" w:styleId="Document">
    <w:name w:val="Document"/>
    <w:basedOn w:val="Normal"/>
    <w:rsid w:val="00913C35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  <w:jc w:val="both"/>
    </w:pPr>
    <w:rPr>
      <w:rFonts w:ascii="Geneva" w:eastAsia="Times New Roman" w:hAnsi="Geneva" w:cs="Times New Roman"/>
      <w:color w:val="00000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rsid w:val="00DD6F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DD6F32"/>
    <w:rPr>
      <w:sz w:val="24"/>
      <w:szCs w:val="24"/>
    </w:rPr>
  </w:style>
  <w:style w:type="character" w:styleId="FootnoteReference">
    <w:name w:val="footnote reference"/>
    <w:basedOn w:val="DefaultParagraphFont"/>
    <w:unhideWhenUsed/>
    <w:rsid w:val="00DD6F3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E0D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krio.org/publications/code-of-practice-for-research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universitiesuk.ac.uk/highereducation/Documents/2012/TheConcordatToSupportResearchIntegrity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http://www.ukrio.org/wp-content/uploads/UKRIO-Recommended-Checklist-for-Researchers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port.ac.uk/accesstoinformation/policies/researchandknowledgetransferservices/filetodownload,180225,en.pdf" TargetMode="External" Id="rId9" /><Relationship Type="http://schemas.openxmlformats.org/officeDocument/2006/relationships/customXml" Target="/customXML/item.xml" Id="R7c6e72f105fe4f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7AA4D16774087397E053C000310AC8A6" version="1.0.0">
  <systemFields>
    <field name="Objective-Id">
      <value order="0">A833789</value>
    </field>
    <field name="Objective-Title">
      <value order="0">7. Favourable Opinion Template Mar20</value>
    </field>
    <field name="Objective-Description">
      <value order="0"/>
    </field>
    <field name="Objective-CreationStamp">
      <value order="0">2020-04-01T13:20:02Z</value>
    </field>
    <field name="Objective-IsApproved">
      <value order="0">false</value>
    </field>
    <field name="Objective-IsPublished">
      <value order="0">true</value>
    </field>
    <field name="Objective-DatePublished">
      <value order="0">2020-04-01T13:20:02Z</value>
    </field>
    <field name="Objective-ModificationStamp">
      <value order="0">2020-04-01T13:20:03Z</value>
    </field>
    <field name="Objective-Owner">
      <value order="0">Llewellyn Olga</value>
    </field>
    <field name="Objective-Path">
      <value order="0">Objective Global Folder:Professional Service - Research &amp; Innovation Services:Communications:Guidance and Forms:Ethics</value>
    </field>
    <field name="Objective-Parent">
      <value order="0">Ethics</value>
    </field>
    <field name="Objective-State">
      <value order="0">Published</value>
    </field>
    <field name="Objective-VersionId">
      <value order="0">vA1000784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qA198980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Martin</dc:creator>
  <cp:lastModifiedBy>Simon K</cp:lastModifiedBy>
  <cp:revision>6</cp:revision>
  <cp:lastPrinted>2014-04-29T10:37:00Z</cp:lastPrinted>
  <dcterms:created xsi:type="dcterms:W3CDTF">2017-02-18T19:31:00Z</dcterms:created>
  <dcterms:modified xsi:type="dcterms:W3CDTF">2020-03-13T15:55:00Z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A833789</vt:lpwstr>
  </property>
  <property fmtid="{D5CDD505-2E9C-101B-9397-08002B2CF9AE}" pid="4" name="Objective-Title">
    <vt:lpwstr>7. Favourable Opinion Template Mar20</vt:lpwstr>
  </property>
  <property fmtid="{D5CDD505-2E9C-101B-9397-08002B2CF9AE}" pid="5" name="Objective-Description">
    <vt:lpwstr/>
  </property>
  <property fmtid="{D5CDD505-2E9C-101B-9397-08002B2CF9AE}" pid="6" name="Objective-CreationStamp">
    <vt:filetime>2020-04-01T13:20:02Z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2020-04-01T13:20:02Z</vt:filetime>
  </property>
  <property fmtid="{D5CDD505-2E9C-101B-9397-08002B2CF9AE}" pid="10" name="Objective-ModificationStamp">
    <vt:filetime>2020-04-01T13:20:03Z</vt:filetime>
  </property>
  <property fmtid="{D5CDD505-2E9C-101B-9397-08002B2CF9AE}" pid="11" name="Objective-Owner">
    <vt:lpwstr>Llewellyn Olga</vt:lpwstr>
  </property>
  <property fmtid="{D5CDD505-2E9C-101B-9397-08002B2CF9AE}" pid="12" name="Objective-Path">
    <vt:lpwstr>Objective Global Folder:Professional Service - Research &amp; Innovation Services:Communications:Guidance and Forms:Ethics</vt:lpwstr>
  </property>
  <property fmtid="{D5CDD505-2E9C-101B-9397-08002B2CF9AE}" pid="13" name="Objective-Parent">
    <vt:lpwstr>Ethics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vA1000784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qA198980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/>
  </property>
</Properties>
</file>